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07" w:rsidRDefault="00702DC3" w:rsidP="00B00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0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2F340" wp14:editId="6AAAA43B">
                <wp:simplePos x="0" y="0"/>
                <wp:positionH relativeFrom="margin">
                  <wp:posOffset>281940</wp:posOffset>
                </wp:positionH>
                <wp:positionV relativeFrom="paragraph">
                  <wp:posOffset>-48895</wp:posOffset>
                </wp:positionV>
                <wp:extent cx="7600950" cy="819150"/>
                <wp:effectExtent l="0" t="0" r="0" b="0"/>
                <wp:wrapNone/>
                <wp:docPr id="8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60095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1407" w:rsidRPr="000A1407" w:rsidRDefault="00FD00FF" w:rsidP="00702DC3">
                            <w:pPr>
                              <w:pStyle w:val="a8"/>
                              <w:spacing w:before="0" w:beforeAutospacing="0" w:after="0" w:afterAutospacing="0" w:line="276" w:lineRule="auto"/>
                              <w:rPr>
                                <w:sz w:val="6"/>
                              </w:rPr>
                            </w:pPr>
                            <w:r w:rsidRPr="00FD00FF">
                              <w:rPr>
                                <w:bCs/>
                                <w:color w:val="0070C0"/>
                                <w:lang w:eastAsia="uk-UA"/>
                              </w:rPr>
                              <w:t>РАЗВИТИ</w:t>
                            </w:r>
                            <w:r w:rsidR="00707480">
                              <w:rPr>
                                <w:bCs/>
                                <w:color w:val="0070C0"/>
                                <w:lang w:eastAsia="uk-UA"/>
                              </w:rPr>
                              <w:t>Е</w:t>
                            </w:r>
                            <w:r w:rsidRPr="00FD00FF">
                              <w:rPr>
                                <w:bCs/>
                                <w:color w:val="0070C0"/>
                                <w:lang w:eastAsia="uk-UA"/>
                              </w:rPr>
                              <w:t xml:space="preserve"> ДОШКОЛЬНОГО ОБРАЗОВАНИЯ В РЕСПУБЛИКЕ КРЫМ</w:t>
                            </w:r>
                            <w:r w:rsidRPr="000A1407">
                              <w:rPr>
                                <w:rFonts w:ascii="BatangChe" w:eastAsia="BatangChe" w:hAnsi="BatangChe" w:cstheme="majorBidi"/>
                                <w:b/>
                                <w:bCs/>
                                <w:color w:val="00B0F0"/>
                                <w:kern w:val="24"/>
                                <w:sz w:val="32"/>
                                <w:szCs w:val="108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2F340" id="Заголовок 1" o:spid="_x0000_s1026" style="position:absolute;left:0;text-align:left;margin-left:22.2pt;margin-top:-3.85pt;width:598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" filled="f" stroked="f">
                <v:path arrowok="t"/>
                <o:lock v:ext="edit" grouping="t"/>
                <v:textbox>
                  <w:txbxContent>
                    <w:p w:rsidR="000A1407" w:rsidRPr="000A1407" w:rsidRDefault="00FD00FF" w:rsidP="00702DC3">
                      <w:pPr>
                        <w:pStyle w:val="a8"/>
                        <w:spacing w:before="0" w:beforeAutospacing="0" w:after="0" w:afterAutospacing="0" w:line="276" w:lineRule="auto"/>
                        <w:rPr>
                          <w:sz w:val="6"/>
                        </w:rPr>
                      </w:pPr>
                      <w:r w:rsidRPr="00FD00FF">
                        <w:rPr>
                          <w:bCs/>
                          <w:color w:val="0070C0"/>
                          <w:lang w:eastAsia="uk-UA"/>
                        </w:rPr>
                        <w:t>РАЗВИТИ</w:t>
                      </w:r>
                      <w:r w:rsidR="00707480">
                        <w:rPr>
                          <w:bCs/>
                          <w:color w:val="0070C0"/>
                          <w:lang w:eastAsia="uk-UA"/>
                        </w:rPr>
                        <w:t>Е</w:t>
                      </w:r>
                      <w:r w:rsidRPr="00FD00FF">
                        <w:rPr>
                          <w:bCs/>
                          <w:color w:val="0070C0"/>
                          <w:lang w:eastAsia="uk-UA"/>
                        </w:rPr>
                        <w:t xml:space="preserve"> ДОШКОЛЬНОГО ОБРАЗОВАНИЯ В РЕСПУБЛИКЕ КРЫМ</w:t>
                      </w:r>
                      <w:r w:rsidRPr="000A1407">
                        <w:rPr>
                          <w:rFonts w:ascii="BatangChe" w:eastAsia="BatangChe" w:hAnsi="BatangChe" w:cstheme="majorBidi"/>
                          <w:b/>
                          <w:bCs/>
                          <w:color w:val="00B0F0"/>
                          <w:kern w:val="24"/>
                          <w:sz w:val="32"/>
                          <w:szCs w:val="108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1407" w:rsidRPr="00CD7919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>Пресс-релиз</w:t>
      </w:r>
    </w:p>
    <w:p w:rsidR="000A1407" w:rsidRDefault="000A1407" w:rsidP="00B00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07" w:rsidRDefault="000A1407" w:rsidP="00B00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07" w:rsidRDefault="000A1407" w:rsidP="00B00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0B" w:rsidRDefault="00CF2B73" w:rsidP="0057677A">
      <w:pPr>
        <w:spacing w:line="276" w:lineRule="auto"/>
        <w:ind w:left="-142"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За 8 лет обеспеченность детей</w:t>
      </w:r>
      <w:r w:rsidR="0057677A" w:rsidRPr="0057677A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дошкольного возраста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местами в</w:t>
      </w:r>
      <w:r w:rsidR="0057677A" w:rsidRPr="0057677A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образовательных организациях республики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возросла на 30,4%</w:t>
      </w:r>
      <w:r w:rsidR="0068110B">
        <w:rPr>
          <w:rFonts w:ascii="Times New Roman" w:eastAsia="Arial Unicode MS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и </w:t>
      </w:r>
      <w:r w:rsidR="0068110B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в 2022 году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составила 627 мест </w:t>
      </w:r>
      <w:r w:rsidR="0068110B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на 1000 детей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против 481 места</w:t>
      </w:r>
      <w:r w:rsidR="0068110B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– в 2014 году</w:t>
      </w:r>
      <w:r w:rsidR="0057677A" w:rsidRPr="0057677A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. </w:t>
      </w:r>
    </w:p>
    <w:p w:rsidR="007C2B37" w:rsidRDefault="00707480" w:rsidP="00055AFF">
      <w:pPr>
        <w:spacing w:line="240" w:lineRule="auto"/>
        <w:ind w:left="-142"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07480">
        <w:rPr>
          <w:rFonts w:ascii="Times New Roman" w:eastAsia="Arial Unicode MS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2120E0E" wp14:editId="5D8623D9">
            <wp:extent cx="5400675" cy="3200400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5631" w:rsidRDefault="004C5631" w:rsidP="004C5631">
      <w:pPr>
        <w:spacing w:line="276" w:lineRule="auto"/>
        <w:ind w:left="-142"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055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2014 году республика располагала 61 тысячью дошкольных мест в образовательных организациях, на начало текущего года - более 76 тысяч мест.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r w:rsidRPr="00B30556">
        <w:rPr>
          <w:rFonts w:ascii="Times New Roman" w:eastAsia="Arial Unicode MS" w:hAnsi="Times New Roman" w:cs="Times New Roman"/>
          <w:sz w:val="26"/>
          <w:szCs w:val="26"/>
          <w:lang w:eastAsia="ru-RU"/>
        </w:rPr>
        <w:t>о</w:t>
      </w:r>
      <w:r w:rsidRPr="00B3055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сравнению с 2014 годом вместимость возросла на четверть (на 25%).</w:t>
      </w:r>
      <w:r w:rsidRPr="00583C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4C5631" w:rsidRDefault="004C5631" w:rsidP="004C5631">
      <w:pPr>
        <w:spacing w:line="276" w:lineRule="auto"/>
        <w:ind w:left="-142"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56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Крым за 2014-2022 гг. в сферу образования вложено 54,4 млрд рублей инвестиций в основной капитал.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этот период ведена 51 организация</w:t>
      </w:r>
      <w:r w:rsidRPr="004C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на 9830 мест.</w:t>
      </w:r>
    </w:p>
    <w:p w:rsidR="004C5631" w:rsidRDefault="004C5631" w:rsidP="004C5631">
      <w:pPr>
        <w:spacing w:line="276" w:lineRule="auto"/>
        <w:ind w:left="-142"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57677A">
        <w:rPr>
          <w:rFonts w:ascii="Times New Roman" w:eastAsia="Arial Unicode MS" w:hAnsi="Times New Roman" w:cs="Times New Roman"/>
          <w:sz w:val="28"/>
          <w:szCs w:val="28"/>
          <w:lang w:eastAsia="uk-UA"/>
        </w:rPr>
        <w:t>Средняя нагрузка образовательных организаций, реализующих программы дошкольного образования, составила 105 воспитанников на 100 мест. Одновременно, в городской местности нагрузка более высокая: 108 воспитанников на 100 мест (против 101 – в сельской местности).</w:t>
      </w:r>
    </w:p>
    <w:p w:rsidR="004C5631" w:rsidRDefault="004C5631" w:rsidP="004C5631">
      <w:pPr>
        <w:spacing w:line="276" w:lineRule="auto"/>
        <w:ind w:left="-142"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30556" w:rsidRPr="0057677A" w:rsidRDefault="00583C58" w:rsidP="004C5631">
      <w:pPr>
        <w:spacing w:line="276" w:lineRule="auto"/>
        <w:ind w:left="-142"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583C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начало 2023 года в секторе дошкольного образования трудились 6,7 тысячи педагогических работников. По сравнению с 2014 годом штат педагогов увеличился на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1,3 </w:t>
      </w:r>
      <w:r w:rsidRPr="00583C58">
        <w:rPr>
          <w:rFonts w:ascii="Times New Roman" w:eastAsia="Arial Unicode MS" w:hAnsi="Times New Roman" w:cs="Times New Roman"/>
          <w:sz w:val="28"/>
          <w:szCs w:val="28"/>
          <w:lang w:eastAsia="ru-RU"/>
        </w:rPr>
        <w:t>тысяч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Pr="00583C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специалистов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0A1407" w:rsidRDefault="000A1407" w:rsidP="00B00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5005" w:rsidRPr="00A93D92" w:rsidRDefault="00895005" w:rsidP="0089500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3D92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При использовании материалов ссылка на </w:t>
      </w:r>
      <w:proofErr w:type="spellStart"/>
      <w:r w:rsidRPr="00A93D92">
        <w:rPr>
          <w:rFonts w:ascii="Times New Roman" w:hAnsi="Times New Roman" w:cs="Times New Roman"/>
          <w:i/>
          <w:color w:val="000000"/>
          <w:sz w:val="24"/>
          <w:szCs w:val="28"/>
        </w:rPr>
        <w:t>Крымстат</w:t>
      </w:r>
      <w:proofErr w:type="spellEnd"/>
      <w:r w:rsidRPr="00A93D92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обязательна.</w:t>
      </w:r>
    </w:p>
    <w:sectPr w:rsidR="00895005" w:rsidRPr="00A93D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9E" w:rsidRDefault="001A699E" w:rsidP="0018100C">
      <w:pPr>
        <w:spacing w:after="0" w:line="240" w:lineRule="auto"/>
      </w:pPr>
      <w:r>
        <w:separator/>
      </w:r>
    </w:p>
  </w:endnote>
  <w:endnote w:type="continuationSeparator" w:id="0">
    <w:p w:rsidR="001A699E" w:rsidRDefault="001A699E" w:rsidP="0018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68760"/>
      <w:docPartObj>
        <w:docPartGallery w:val="Page Numbers (Bottom of Page)"/>
        <w:docPartUnique/>
      </w:docPartObj>
    </w:sdtPr>
    <w:sdtEndPr/>
    <w:sdtContent>
      <w:p w:rsidR="004D0E1D" w:rsidRDefault="004D0E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00F">
          <w:rPr>
            <w:noProof/>
          </w:rPr>
          <w:t>1</w:t>
        </w:r>
        <w:r>
          <w:fldChar w:fldCharType="end"/>
        </w:r>
      </w:p>
    </w:sdtContent>
  </w:sdt>
  <w:p w:rsidR="004D0E1D" w:rsidRDefault="004D0E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9E" w:rsidRDefault="001A699E" w:rsidP="0018100C">
      <w:pPr>
        <w:spacing w:after="0" w:line="240" w:lineRule="auto"/>
      </w:pPr>
      <w:r>
        <w:separator/>
      </w:r>
    </w:p>
  </w:footnote>
  <w:footnote w:type="continuationSeparator" w:id="0">
    <w:p w:rsidR="001A699E" w:rsidRDefault="001A699E" w:rsidP="0018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6B4"/>
    <w:multiLevelType w:val="hybridMultilevel"/>
    <w:tmpl w:val="6A280B48"/>
    <w:lvl w:ilvl="0" w:tplc="4BFC7A0C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38"/>
    <w:rsid w:val="000100EC"/>
    <w:rsid w:val="000269BC"/>
    <w:rsid w:val="00047438"/>
    <w:rsid w:val="00055AFF"/>
    <w:rsid w:val="000852BF"/>
    <w:rsid w:val="00095577"/>
    <w:rsid w:val="000A1407"/>
    <w:rsid w:val="000B0BE0"/>
    <w:rsid w:val="000B76F9"/>
    <w:rsid w:val="000E13F5"/>
    <w:rsid w:val="001468F6"/>
    <w:rsid w:val="0018100C"/>
    <w:rsid w:val="001A699E"/>
    <w:rsid w:val="001B62A5"/>
    <w:rsid w:val="001C222B"/>
    <w:rsid w:val="00210FE5"/>
    <w:rsid w:val="00216C35"/>
    <w:rsid w:val="00232B8B"/>
    <w:rsid w:val="002466F3"/>
    <w:rsid w:val="00261C8E"/>
    <w:rsid w:val="00354EA5"/>
    <w:rsid w:val="00380279"/>
    <w:rsid w:val="003B3A7C"/>
    <w:rsid w:val="003F7575"/>
    <w:rsid w:val="00406066"/>
    <w:rsid w:val="004715C0"/>
    <w:rsid w:val="00473A2B"/>
    <w:rsid w:val="004C517E"/>
    <w:rsid w:val="004C5631"/>
    <w:rsid w:val="004D0E1D"/>
    <w:rsid w:val="005049E2"/>
    <w:rsid w:val="00536BFC"/>
    <w:rsid w:val="0057677A"/>
    <w:rsid w:val="00583C58"/>
    <w:rsid w:val="00600402"/>
    <w:rsid w:val="006741F6"/>
    <w:rsid w:val="0068110B"/>
    <w:rsid w:val="006B1D24"/>
    <w:rsid w:val="00702DC3"/>
    <w:rsid w:val="00707480"/>
    <w:rsid w:val="007C2B37"/>
    <w:rsid w:val="0082434F"/>
    <w:rsid w:val="00876257"/>
    <w:rsid w:val="00895005"/>
    <w:rsid w:val="008D6708"/>
    <w:rsid w:val="0091111A"/>
    <w:rsid w:val="00953193"/>
    <w:rsid w:val="0096787F"/>
    <w:rsid w:val="00980845"/>
    <w:rsid w:val="00A6401B"/>
    <w:rsid w:val="00A93D92"/>
    <w:rsid w:val="00AE70B0"/>
    <w:rsid w:val="00B003EB"/>
    <w:rsid w:val="00B30556"/>
    <w:rsid w:val="00BF4EAD"/>
    <w:rsid w:val="00C0093D"/>
    <w:rsid w:val="00CD357F"/>
    <w:rsid w:val="00CD7919"/>
    <w:rsid w:val="00CF1B37"/>
    <w:rsid w:val="00CF2B73"/>
    <w:rsid w:val="00D1103C"/>
    <w:rsid w:val="00DB0AFF"/>
    <w:rsid w:val="00E6300F"/>
    <w:rsid w:val="00E85B2B"/>
    <w:rsid w:val="00F111C5"/>
    <w:rsid w:val="00F313EE"/>
    <w:rsid w:val="00F43FB4"/>
    <w:rsid w:val="00F94D1F"/>
    <w:rsid w:val="00F962E4"/>
    <w:rsid w:val="00FD00FF"/>
    <w:rsid w:val="00FF15A4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46B55F-2D93-4D5B-B3FA-8CBF4A81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8100C"/>
  </w:style>
  <w:style w:type="paragraph" w:styleId="a5">
    <w:name w:val="footer"/>
    <w:basedOn w:val="a"/>
    <w:link w:val="a6"/>
    <w:uiPriority w:val="99"/>
    <w:unhideWhenUsed/>
    <w:rsid w:val="0018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8100C"/>
  </w:style>
  <w:style w:type="character" w:customStyle="1" w:styleId="10">
    <w:name w:val="Заголовок 1 Знак"/>
    <w:basedOn w:val="a0"/>
    <w:link w:val="1"/>
    <w:uiPriority w:val="9"/>
    <w:rsid w:val="000B0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0B0BE0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0B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B0BE0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0B0BE0"/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39"/>
    <w:rsid w:val="008D670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670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80845"/>
    <w:pPr>
      <w:spacing w:after="0" w:line="240" w:lineRule="auto"/>
    </w:pPr>
    <w:rPr>
      <w:sz w:val="20"/>
      <w:szCs w:val="20"/>
      <w:lang w:val="uk-UA" w:eastAsia="uk-UA"/>
    </w:rPr>
  </w:style>
  <w:style w:type="character" w:customStyle="1" w:styleId="ac">
    <w:name w:val="Текст виноски Знак"/>
    <w:basedOn w:val="a0"/>
    <w:link w:val="ab"/>
    <w:uiPriority w:val="99"/>
    <w:semiHidden/>
    <w:rsid w:val="00980845"/>
    <w:rPr>
      <w:sz w:val="20"/>
      <w:szCs w:val="20"/>
      <w:lang w:val="uk-UA" w:eastAsia="uk-UA"/>
    </w:rPr>
  </w:style>
  <w:style w:type="character" w:styleId="ad">
    <w:name w:val="footnote reference"/>
    <w:basedOn w:val="a0"/>
    <w:uiPriority w:val="99"/>
    <w:semiHidden/>
    <w:unhideWhenUsed/>
    <w:rsid w:val="0098084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21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10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071518837923037E-3"/>
          <c:y val="0"/>
          <c:w val="0.92858318636096415"/>
          <c:h val="0.68104378230968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Обеспеченность местами на 1000 детей</c:v>
                </c:pt>
              </c:strCache>
            </c:strRef>
          </c:tx>
          <c:spPr>
            <a:solidFill>
              <a:srgbClr val="ED7D31">
                <a:lumMod val="20000"/>
                <a:lumOff val="80000"/>
              </a:srgbClr>
            </a:solidFill>
            <a:ln w="38100">
              <a:solidFill>
                <a:srgbClr val="70AD47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ED7D31">
                  <a:lumMod val="20000"/>
                  <a:lumOff val="80000"/>
                </a:srgbClr>
              </a:solidFill>
              <a:ln w="38100">
                <a:solidFill>
                  <a:srgbClr val="70AD47"/>
                </a:solidFill>
              </a:ln>
            </c:spPr>
          </c:dPt>
          <c:dLbls>
            <c:dLbl>
              <c:idx val="11"/>
              <c:layout>
                <c:manualLayout>
                  <c:x val="9.3997066107322398E-3"/>
                  <c:y val="-3.4694469519536142E-1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 baseline="0">
                      <a:solidFill>
                        <a:schemeClr val="accent6">
                          <a:lumMod val="50000"/>
                        </a:schemeClr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4571005778475793E-2"/>
                      <c:h val="3.69081077470374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baseline="0">
                    <a:solidFill>
                      <a:schemeClr val="accent6">
                        <a:lumMod val="50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trendline>
            <c:spPr>
              <a:ln>
                <a:solidFill>
                  <a:srgbClr val="4472C4">
                    <a:lumMod val="75000"/>
                  </a:srgbClr>
                </a:solidFill>
              </a:ln>
            </c:spPr>
            <c:trendlineType val="linear"/>
            <c:dispRSqr val="0"/>
            <c:dispEq val="0"/>
          </c:trendline>
          <c:cat>
            <c:numRef>
              <c:f>Лист1!$A$2:$A$14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445</c:v>
                </c:pt>
                <c:pt idx="1">
                  <c:v>436</c:v>
                </c:pt>
                <c:pt idx="2">
                  <c:v>441</c:v>
                </c:pt>
                <c:pt idx="3">
                  <c:v>434</c:v>
                </c:pt>
                <c:pt idx="4">
                  <c:v>481</c:v>
                </c:pt>
                <c:pt idx="5">
                  <c:v>473</c:v>
                </c:pt>
                <c:pt idx="6">
                  <c:v>497</c:v>
                </c:pt>
                <c:pt idx="7">
                  <c:v>501</c:v>
                </c:pt>
                <c:pt idx="8">
                  <c:v>522</c:v>
                </c:pt>
                <c:pt idx="9">
                  <c:v>557</c:v>
                </c:pt>
                <c:pt idx="10">
                  <c:v>594</c:v>
                </c:pt>
                <c:pt idx="11">
                  <c:v>631</c:v>
                </c:pt>
                <c:pt idx="12">
                  <c:v>627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4613472"/>
        <c:axId val="30461403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Стовпець1</c:v>
                </c:pt>
              </c:strCache>
            </c:strRef>
          </c:tx>
          <c:spPr>
            <a:ln w="38100">
              <a:solidFill>
                <a:srgbClr val="E3002A"/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aseline="0">
                    <a:solidFill>
                      <a:srgbClr val="C00000"/>
                    </a:solidFill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4613472"/>
        <c:axId val="304614032"/>
      </c:lineChart>
      <c:catAx>
        <c:axId val="304613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 b="1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uk-UA"/>
          </a:p>
        </c:txPr>
        <c:crossAx val="304614032"/>
        <c:crosses val="autoZero"/>
        <c:auto val="1"/>
        <c:lblAlgn val="ctr"/>
        <c:lblOffset val="100"/>
        <c:noMultiLvlLbl val="0"/>
      </c:catAx>
      <c:valAx>
        <c:axId val="304614032"/>
        <c:scaling>
          <c:orientation val="minMax"/>
          <c:max val="650"/>
          <c:min val="400"/>
        </c:scaling>
        <c:delete val="1"/>
        <c:axPos val="l"/>
        <c:numFmt formatCode="0" sourceLinked="1"/>
        <c:majorTickMark val="out"/>
        <c:minorTickMark val="none"/>
        <c:tickLblPos val="nextTo"/>
        <c:crossAx val="304613472"/>
        <c:crosses val="autoZero"/>
        <c:crossBetween val="between"/>
        <c:majorUnit val="50"/>
      </c:valAx>
    </c:plotArea>
    <c:legend>
      <c:legendPos val="b"/>
      <c:legendEntry>
        <c:idx val="0"/>
        <c:txPr>
          <a:bodyPr/>
          <a:lstStyle/>
          <a:p>
            <a:pPr>
              <a:defRPr sz="1200" b="0" i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uk-UA"/>
          </a:p>
        </c:txPr>
      </c:legendEntry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7.4568538663879802E-2"/>
          <c:y val="0.75004874307918756"/>
          <c:w val="0.78770040913167738"/>
          <c:h val="0.22240782009622279"/>
        </c:manualLayout>
      </c:layout>
      <c:overlay val="0"/>
      <c:txPr>
        <a:bodyPr/>
        <a:lstStyle/>
        <a:p>
          <a:pPr>
            <a:defRPr sz="1000" b="0" i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Ирина Геннадьевна</dc:creator>
  <cp:keywords/>
  <dc:description/>
  <cp:lastModifiedBy>Бабенко Наталья Валерьяновна</cp:lastModifiedBy>
  <cp:revision>26</cp:revision>
  <cp:lastPrinted>2023-09-25T14:09:00Z</cp:lastPrinted>
  <dcterms:created xsi:type="dcterms:W3CDTF">2023-05-25T07:51:00Z</dcterms:created>
  <dcterms:modified xsi:type="dcterms:W3CDTF">2023-09-25T14:53:00Z</dcterms:modified>
</cp:coreProperties>
</file>